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628BD03F" w:rsidR="00A70556" w:rsidRDefault="00CA36EE" w:rsidP="00CA36EE">
            <w:pPr>
              <w:spacing w:after="0" w:line="276" w:lineRule="auto"/>
            </w:pPr>
            <w:r>
              <w:t>Fortalecimiento a</w:t>
            </w:r>
            <w:r w:rsidRPr="00CA36EE">
              <w:t xml:space="preserve"> </w:t>
            </w:r>
            <w:r>
              <w:t>la Transversalidad d</w:t>
            </w:r>
            <w:r w:rsidRPr="00CA36EE">
              <w:t xml:space="preserve">e </w:t>
            </w:r>
            <w:r>
              <w:t>l</w:t>
            </w:r>
            <w:r w:rsidRPr="00CA36EE">
              <w:t xml:space="preserve">a Perspectiva </w:t>
            </w:r>
            <w:r>
              <w:t>d</w:t>
            </w:r>
            <w:r w:rsidRPr="00CA36EE">
              <w:t>e Género</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CA36EE" w14:paraId="1D014C1E" w14:textId="77777777" w:rsidTr="009F4211">
        <w:trPr>
          <w:trHeight w:val="340"/>
        </w:trPr>
        <w:tc>
          <w:tcPr>
            <w:tcW w:w="4712" w:type="dxa"/>
            <w:gridSpan w:val="2"/>
            <w:shd w:val="clear" w:color="auto" w:fill="auto"/>
            <w:vAlign w:val="center"/>
          </w:tcPr>
          <w:p w14:paraId="404D8B68" w14:textId="38B97439" w:rsidR="00B861E0" w:rsidRPr="00CA36EE" w:rsidRDefault="00CA36EE" w:rsidP="00A123E6">
            <w:pPr>
              <w:spacing w:after="0" w:line="276" w:lineRule="auto"/>
              <w:jc w:val="center"/>
              <w:rPr>
                <w:bCs/>
              </w:rPr>
            </w:pPr>
            <w:r w:rsidRPr="00CA36EE">
              <w:rPr>
                <w:bCs/>
              </w:rPr>
              <w:t>22/03/2023</w:t>
            </w:r>
          </w:p>
        </w:tc>
        <w:tc>
          <w:tcPr>
            <w:tcW w:w="5206" w:type="dxa"/>
            <w:gridSpan w:val="2"/>
            <w:shd w:val="clear" w:color="auto" w:fill="auto"/>
            <w:vAlign w:val="center"/>
          </w:tcPr>
          <w:p w14:paraId="79E9E4F4" w14:textId="25453087" w:rsidR="00B861E0" w:rsidRPr="00CA36EE" w:rsidRDefault="00CA36EE" w:rsidP="00A123E6">
            <w:pPr>
              <w:spacing w:after="0" w:line="276" w:lineRule="auto"/>
              <w:jc w:val="center"/>
              <w:rPr>
                <w:bCs/>
              </w:rPr>
            </w:pPr>
            <w:r w:rsidRPr="00CA36EE">
              <w:rPr>
                <w:bCs/>
              </w:rPr>
              <w:t>31/07/2023</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CA36EE" w14:paraId="37454C6A" w14:textId="77777777" w:rsidTr="00E06043">
        <w:trPr>
          <w:trHeight w:val="340"/>
        </w:trPr>
        <w:tc>
          <w:tcPr>
            <w:tcW w:w="9918" w:type="dxa"/>
            <w:gridSpan w:val="4"/>
            <w:shd w:val="clear" w:color="auto" w:fill="auto"/>
          </w:tcPr>
          <w:p w14:paraId="78C4F704" w14:textId="2364577A" w:rsidR="009F4211" w:rsidRPr="00CA36EE" w:rsidRDefault="00CA36EE" w:rsidP="0026441B">
            <w:pPr>
              <w:pStyle w:val="Prrafodelista"/>
              <w:spacing w:after="0" w:line="276" w:lineRule="auto"/>
              <w:ind w:left="37"/>
              <w:jc w:val="both"/>
              <w:rPr>
                <w:bCs/>
              </w:rPr>
            </w:pPr>
            <w:r w:rsidRPr="00CA36EE">
              <w:rPr>
                <w:bCs/>
              </w:rPr>
              <w:t xml:space="preserve">Lic. Daniel Joaquín López García, Jefe del Departamento de </w:t>
            </w:r>
            <w:r w:rsidR="0026441B">
              <w:rPr>
                <w:bCs/>
              </w:rPr>
              <w:t>Planeación</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31D5850E" w:rsidR="00B920F2" w:rsidRDefault="00CA36EE" w:rsidP="00521401">
      <w:pPr>
        <w:pStyle w:val="Prrafodelista"/>
        <w:spacing w:after="0" w:line="276" w:lineRule="auto"/>
        <w:ind w:left="142"/>
        <w:jc w:val="both"/>
      </w:pPr>
      <w:r w:rsidRPr="00CA36EE">
        <w:t>Evaluar el diseño del Programa Presupuestario E017 Promover la Atención y Prevención de la Violencia contra las Mujeres en su Proyecto: Fortalecimiento a la Transversalidad de la Perspectiva de Género en su ejercicio fiscal 2022, con la finalidad de proveer información que retroalimente su diseño, gestión y resultados</w:t>
      </w:r>
      <w:r>
        <w:t>.</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7E5918A3" w14:textId="77777777" w:rsidR="00CA36EE" w:rsidRDefault="00CA36EE" w:rsidP="00CA36EE">
      <w:pPr>
        <w:pStyle w:val="Prrafodelista"/>
        <w:numPr>
          <w:ilvl w:val="0"/>
          <w:numId w:val="2"/>
        </w:numPr>
        <w:spacing w:after="0" w:line="276" w:lineRule="auto"/>
        <w:jc w:val="both"/>
      </w:pPr>
      <w:r>
        <w:t>Analizar la justificación de la creación y diseño de uno o más programas.</w:t>
      </w:r>
    </w:p>
    <w:p w14:paraId="3B133321" w14:textId="77777777" w:rsidR="00CA36EE" w:rsidRDefault="00CA36EE" w:rsidP="00CA36EE">
      <w:pPr>
        <w:pStyle w:val="Prrafodelista"/>
        <w:numPr>
          <w:ilvl w:val="0"/>
          <w:numId w:val="2"/>
        </w:numPr>
        <w:spacing w:after="0" w:line="276" w:lineRule="auto"/>
        <w:jc w:val="both"/>
      </w:pPr>
      <w:r>
        <w:t>Identificar y analizar su vinculación con la planeación sectorial, estatal y/o nacional.</w:t>
      </w:r>
    </w:p>
    <w:p w14:paraId="6A9D5406" w14:textId="77777777" w:rsidR="00CA36EE" w:rsidRDefault="00CA36EE" w:rsidP="00CA36EE">
      <w:pPr>
        <w:pStyle w:val="Prrafodelista"/>
        <w:numPr>
          <w:ilvl w:val="0"/>
          <w:numId w:val="2"/>
        </w:numPr>
        <w:spacing w:after="0" w:line="276" w:lineRule="auto"/>
        <w:jc w:val="both"/>
      </w:pPr>
      <w:r>
        <w:t>Identificar a sus poblaciones y mecanismos de atención.</w:t>
      </w:r>
    </w:p>
    <w:p w14:paraId="30AD5E9F" w14:textId="77777777" w:rsidR="00CA36EE" w:rsidRDefault="00CA36EE" w:rsidP="00CA36EE">
      <w:pPr>
        <w:pStyle w:val="Prrafodelista"/>
        <w:numPr>
          <w:ilvl w:val="0"/>
          <w:numId w:val="2"/>
        </w:numPr>
        <w:spacing w:after="0" w:line="276" w:lineRule="auto"/>
        <w:jc w:val="both"/>
      </w:pPr>
      <w:r>
        <w:t>Analizar el funcionamiento y operación del padrón de beneficiarios y la entrega de apoyos.</w:t>
      </w:r>
    </w:p>
    <w:p w14:paraId="0613B795" w14:textId="77777777" w:rsidR="00CA36EE" w:rsidRDefault="00CA36EE" w:rsidP="00CA36EE">
      <w:pPr>
        <w:pStyle w:val="Prrafodelista"/>
        <w:numPr>
          <w:ilvl w:val="0"/>
          <w:numId w:val="2"/>
        </w:numPr>
        <w:spacing w:after="0" w:line="276" w:lineRule="auto"/>
        <w:jc w:val="both"/>
      </w:pPr>
      <w:r>
        <w:t>Analizar la consistencia entre su diseño y la normatividad aplicable.</w:t>
      </w:r>
    </w:p>
    <w:p w14:paraId="3D767CFC" w14:textId="77777777" w:rsidR="00CA36EE" w:rsidRDefault="00CA36EE" w:rsidP="00CA36EE">
      <w:pPr>
        <w:pStyle w:val="Prrafodelista"/>
        <w:numPr>
          <w:ilvl w:val="0"/>
          <w:numId w:val="2"/>
        </w:numPr>
        <w:spacing w:after="0" w:line="276" w:lineRule="auto"/>
        <w:jc w:val="both"/>
      </w:pPr>
      <w:r>
        <w:t>Identificar el registro de operaciones presupuestales y rendición de cuentas.</w:t>
      </w:r>
    </w:p>
    <w:p w14:paraId="05A5AFAF" w14:textId="77777777" w:rsidR="00CA36EE" w:rsidRDefault="00CA36EE" w:rsidP="00CA36EE">
      <w:pPr>
        <w:pStyle w:val="Prrafodelista"/>
        <w:numPr>
          <w:ilvl w:val="0"/>
          <w:numId w:val="2"/>
        </w:numPr>
        <w:spacing w:after="0" w:line="276" w:lineRule="auto"/>
        <w:jc w:val="both"/>
      </w:pPr>
      <w:r>
        <w:t>Identificar posibles complementariedades y/o coincidencias con otros programas tanto estatales como federales.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1B405E24"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E84156">
        <w:t>Diseño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CA36EE" w:rsidRDefault="0034573D" w:rsidP="0034573D">
            <w:pPr>
              <w:spacing w:after="0" w:line="240" w:lineRule="auto"/>
              <w:jc w:val="center"/>
              <w:rPr>
                <w:bCs/>
              </w:rPr>
            </w:pPr>
            <w:r w:rsidRPr="00CA36EE">
              <w:rPr>
                <w:bCs/>
              </w:rPr>
              <w:t>X</w:t>
            </w:r>
          </w:p>
        </w:tc>
        <w:tc>
          <w:tcPr>
            <w:tcW w:w="2126" w:type="dxa"/>
            <w:vAlign w:val="center"/>
          </w:tcPr>
          <w:p w14:paraId="1F71ABFD" w14:textId="77777777" w:rsidR="00581B4A" w:rsidRPr="00CA36EE" w:rsidRDefault="00581B4A" w:rsidP="00090637">
            <w:pPr>
              <w:spacing w:after="0" w:line="276" w:lineRule="auto"/>
              <w:jc w:val="center"/>
              <w:rPr>
                <w:b/>
                <w:bCs/>
              </w:rPr>
            </w:pPr>
          </w:p>
        </w:tc>
        <w:tc>
          <w:tcPr>
            <w:tcW w:w="1843" w:type="dxa"/>
            <w:vAlign w:val="center"/>
          </w:tcPr>
          <w:p w14:paraId="66DFD63C" w14:textId="77777777" w:rsidR="00581B4A" w:rsidRPr="00CA36EE" w:rsidRDefault="00581B4A" w:rsidP="00090637">
            <w:pPr>
              <w:spacing w:after="0" w:line="276" w:lineRule="auto"/>
              <w:jc w:val="center"/>
            </w:pPr>
            <w:r w:rsidRPr="00CA36EE">
              <w:t>X</w:t>
            </w:r>
          </w:p>
        </w:tc>
        <w:tc>
          <w:tcPr>
            <w:tcW w:w="3260" w:type="dxa"/>
            <w:vAlign w:val="center"/>
          </w:tcPr>
          <w:p w14:paraId="342AA705" w14:textId="77777777" w:rsidR="00581B4A" w:rsidRPr="00CA36EE" w:rsidRDefault="00581B4A" w:rsidP="00090637">
            <w:pPr>
              <w:spacing w:after="0" w:line="276" w:lineRule="auto"/>
              <w:jc w:val="center"/>
            </w:pPr>
            <w:r w:rsidRPr="00CA36EE">
              <w:t>Esquema de la Evaluación</w:t>
            </w:r>
          </w:p>
          <w:p w14:paraId="635641E2" w14:textId="4C99072F" w:rsidR="00581B4A" w:rsidRPr="00581B4A" w:rsidRDefault="00EC7832" w:rsidP="00E84156">
            <w:pPr>
              <w:spacing w:after="0" w:line="276" w:lineRule="auto"/>
              <w:jc w:val="center"/>
              <w:rPr>
                <w:b/>
                <w:bCs/>
              </w:rPr>
            </w:pPr>
            <w:r w:rsidRPr="00CA36EE">
              <w:t>d</w:t>
            </w:r>
            <w:r w:rsidR="0034573D" w:rsidRPr="00CA36EE">
              <w:t xml:space="preserve">e </w:t>
            </w:r>
            <w:r w:rsidR="00E84156">
              <w:t>Diseño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54C29840" w:rsidR="0084654C" w:rsidRDefault="0084654C">
      <w:pPr>
        <w:spacing w:after="0" w:line="240" w:lineRule="auto"/>
      </w:pPr>
    </w:p>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6A64F9A" w14:textId="33497FA4" w:rsidR="00113BCD" w:rsidRDefault="0084654C" w:rsidP="00113BCD">
      <w:pPr>
        <w:ind w:left="708"/>
        <w:jc w:val="both"/>
      </w:pPr>
      <w:r w:rsidRPr="00CA644B">
        <w:t xml:space="preserve">Fortalecer institucionalmente a los Mecanismos para el Adelanto de las Mujeres (MAM) para que contribuyan a la igualdad de oportunidades y el ejercicio de los derechos de las mujeres en las entidades federativas, los municipios y las demarcaciones territoriales de la Ciudad de México con el propósito de </w:t>
      </w:r>
      <w:r w:rsidRPr="00CA644B">
        <w:lastRenderedPageBreak/>
        <w:t>disminuir las brechas de desigualdad de género mediante el diseño y ejecución de acciones de atención y medidas especiales de carácter temporal.</w:t>
      </w:r>
    </w:p>
    <w:p w14:paraId="25B27B5D" w14:textId="3129FB80" w:rsidR="0084654C" w:rsidRDefault="0084654C" w:rsidP="00113BCD">
      <w:pPr>
        <w:ind w:left="708"/>
        <w:jc w:val="both"/>
      </w:pPr>
      <w:r>
        <w:t xml:space="preserve">El problema público o necesidad que se pretende atender a través del proyecto es la brecha de desigualdad entre mujeres y hombres, además de la </w:t>
      </w:r>
      <w:r w:rsidRPr="007839C6">
        <w:t xml:space="preserve">necesidad que se </w:t>
      </w:r>
      <w:r>
        <w:t>tiene para</w:t>
      </w:r>
      <w:r w:rsidRPr="007839C6">
        <w:t xml:space="preserve"> garantizar la igualdad sustantiva entre mujeres y hombre con base en el ejercicio pleno de los Derechos Humanos</w:t>
      </w:r>
      <w:r>
        <w:t xml:space="preserve">. Por lo anterior, se generan </w:t>
      </w:r>
      <w:r w:rsidRPr="00CA644B">
        <w:t>las condiciones para implementar la política de igualdad, fortalecer las capacidades organizacionales, té</w:t>
      </w:r>
      <w:r>
        <w:t>cnicas y operativas de las Instancias de las Mujeres en las Entidades Federativas (IMEF)</w:t>
      </w:r>
      <w:r w:rsidRPr="00CA644B">
        <w:t>, para que diseñen y ejecuten acciones de atención y medidas especiales de carácter temporal que contribuyan a acortar las brechas de desigualdad entre mujeres y hombres.</w:t>
      </w:r>
    </w:p>
    <w:p w14:paraId="4A24FA2A" w14:textId="77777777" w:rsidR="0084654C" w:rsidRDefault="0084654C" w:rsidP="0084654C">
      <w:pPr>
        <w:spacing w:line="240" w:lineRule="auto"/>
        <w:ind w:left="708"/>
        <w:jc w:val="both"/>
      </w:pPr>
      <w:r w:rsidRPr="002C6C31">
        <w:t xml:space="preserve">Derivado de los resultados obtenidos a través de la evaluación, es posible detectar las siguientes fortalezas y oportunidades del </w:t>
      </w:r>
      <w:r>
        <w:t>programa</w:t>
      </w:r>
      <w:r w:rsidRPr="002C6C31">
        <w:t>:</w:t>
      </w:r>
    </w:p>
    <w:p w14:paraId="41F0E34D" w14:textId="77777777" w:rsidR="0021066D" w:rsidRDefault="0021066D" w:rsidP="0021066D">
      <w:pPr>
        <w:pStyle w:val="Prrafodelista"/>
        <w:numPr>
          <w:ilvl w:val="0"/>
          <w:numId w:val="32"/>
        </w:numPr>
        <w:jc w:val="both"/>
      </w:pPr>
      <w:r>
        <w:t>El proyecto se rige con base a las ROP nacionales de Fortalecimiento a la Transversalidad de la Perspectiva de Género para el ejercicio fiscal 2022.</w:t>
      </w:r>
    </w:p>
    <w:p w14:paraId="514CD498" w14:textId="77777777" w:rsidR="0021066D" w:rsidRDefault="0021066D" w:rsidP="0021066D">
      <w:pPr>
        <w:pStyle w:val="Prrafodelista"/>
        <w:numPr>
          <w:ilvl w:val="0"/>
          <w:numId w:val="32"/>
        </w:numPr>
        <w:jc w:val="both"/>
      </w:pPr>
      <w:r>
        <w:t>En las ROP se establecen las causas, efectos y características del problema, la ubicación territorial de la población que presenta el problema, el plazo para su revisión y su actualización, así como las características de la población que presenta el problema. Asimismo, se definen las poblaciones (atendida, objetivo y potencial).</w:t>
      </w:r>
    </w:p>
    <w:p w14:paraId="0B8499F9" w14:textId="77777777" w:rsidR="0021066D" w:rsidRDefault="0021066D" w:rsidP="0021066D">
      <w:pPr>
        <w:pStyle w:val="Prrafodelista"/>
        <w:numPr>
          <w:ilvl w:val="0"/>
          <w:numId w:val="32"/>
        </w:numPr>
        <w:jc w:val="both"/>
      </w:pPr>
      <w:r>
        <w:t>En las ROP se establece el objetivo general.</w:t>
      </w:r>
    </w:p>
    <w:p w14:paraId="79139542" w14:textId="77777777" w:rsidR="0021066D" w:rsidRDefault="0021066D" w:rsidP="0021066D">
      <w:pPr>
        <w:pStyle w:val="Prrafodelista"/>
        <w:numPr>
          <w:ilvl w:val="0"/>
          <w:numId w:val="32"/>
        </w:numPr>
        <w:jc w:val="both"/>
      </w:pPr>
      <w:r>
        <w:t>Se cuenta con el Convenio Modificatorio al Convenio Específico de Colaboración que se firmó el 13 de mayo de 2022.</w:t>
      </w:r>
    </w:p>
    <w:p w14:paraId="7F5200D4" w14:textId="77777777" w:rsidR="0021066D" w:rsidRDefault="0021066D" w:rsidP="0021066D">
      <w:pPr>
        <w:pStyle w:val="Prrafodelista"/>
        <w:numPr>
          <w:ilvl w:val="0"/>
          <w:numId w:val="32"/>
        </w:numPr>
        <w:jc w:val="both"/>
      </w:pPr>
      <w:r>
        <w:t>Se cuenta con un diagnóstico del PED.</w:t>
      </w:r>
    </w:p>
    <w:p w14:paraId="07F6CEF6" w14:textId="77777777" w:rsidR="0021066D" w:rsidRDefault="0021066D" w:rsidP="0021066D">
      <w:pPr>
        <w:pStyle w:val="Prrafodelista"/>
        <w:numPr>
          <w:ilvl w:val="0"/>
          <w:numId w:val="32"/>
        </w:numPr>
        <w:jc w:val="both"/>
      </w:pPr>
      <w:r>
        <w:t>Se cuenta con indicadores y metas sobre Oportunidades, Igualdad, inclusión y una vida libre de violencia para las mujeres tales metas con proyección a año 2027.</w:t>
      </w:r>
    </w:p>
    <w:p w14:paraId="226E7648" w14:textId="77777777" w:rsidR="0021066D" w:rsidRDefault="0021066D" w:rsidP="0021066D">
      <w:pPr>
        <w:pStyle w:val="Prrafodelista"/>
        <w:numPr>
          <w:ilvl w:val="0"/>
          <w:numId w:val="32"/>
        </w:numPr>
        <w:jc w:val="both"/>
      </w:pPr>
      <w:r>
        <w:t>En las ROP se establecen las causas, efectos y características del problema, la ubicación territorial de la población que presenta el problema, el plazo para su revisión y su actualización, así como las características de la población que presenta el problema.</w:t>
      </w:r>
    </w:p>
    <w:p w14:paraId="02BC6381" w14:textId="77777777" w:rsidR="0021066D" w:rsidRDefault="0021066D" w:rsidP="0021066D">
      <w:pPr>
        <w:pStyle w:val="Prrafodelista"/>
        <w:numPr>
          <w:ilvl w:val="0"/>
          <w:numId w:val="32"/>
        </w:numPr>
        <w:jc w:val="both"/>
      </w:pPr>
      <w:r>
        <w:t>El programa se encuentra alineado al Plan Nacional de Desarrollo (PND) 2019-2024, al Programa Institucional 2020-2024 del Instituto Nacional de las Mujeres, al Plan Estatal de Desarrollo (PED) 2022 – 2027 y al Programa Sectorial Transformando Sinaloa para que las Mujeres Vivan Seguras, en Igualdad Sustantiva y sin Discriminación 2022 – 2027.</w:t>
      </w:r>
    </w:p>
    <w:p w14:paraId="1041F9F3" w14:textId="77777777" w:rsidR="0021066D" w:rsidRDefault="0021066D" w:rsidP="0021066D">
      <w:pPr>
        <w:pStyle w:val="Prrafodelista"/>
        <w:numPr>
          <w:ilvl w:val="0"/>
          <w:numId w:val="32"/>
        </w:numPr>
        <w:jc w:val="both"/>
      </w:pPr>
      <w:r>
        <w:t>El programa se encuentra vinculado a los ODS.</w:t>
      </w:r>
    </w:p>
    <w:p w14:paraId="4E1E8797" w14:textId="77777777" w:rsidR="0021066D" w:rsidRDefault="0021066D" w:rsidP="0021066D">
      <w:pPr>
        <w:pStyle w:val="Prrafodelista"/>
        <w:numPr>
          <w:ilvl w:val="0"/>
          <w:numId w:val="32"/>
        </w:numPr>
        <w:jc w:val="both"/>
      </w:pPr>
      <w:r>
        <w:t>En las ROP se definen las poblaciones de atendida, objetivo y potencial.</w:t>
      </w:r>
    </w:p>
    <w:p w14:paraId="04449210" w14:textId="77777777" w:rsidR="0021066D" w:rsidRDefault="0021066D" w:rsidP="0021066D">
      <w:pPr>
        <w:pStyle w:val="Prrafodelista"/>
        <w:numPr>
          <w:ilvl w:val="0"/>
          <w:numId w:val="32"/>
        </w:numPr>
        <w:jc w:val="both"/>
      </w:pPr>
      <w:r>
        <w:t>A través de las ROP se identifica la población objetivo y en el punto 4. REQUISITOS, se estipulan los puntos necesarios que se deben cumplir.</w:t>
      </w:r>
    </w:p>
    <w:p w14:paraId="55A419FF" w14:textId="77777777" w:rsidR="0021066D" w:rsidRDefault="0021066D" w:rsidP="0021066D">
      <w:pPr>
        <w:pStyle w:val="Prrafodelista"/>
        <w:numPr>
          <w:ilvl w:val="0"/>
          <w:numId w:val="32"/>
        </w:numPr>
        <w:jc w:val="both"/>
      </w:pPr>
      <w:r>
        <w:t>En las ROP específicamente en el punto 1. GLOSARIO, se definen las poblaciones (atendida, objetivo y potencial).</w:t>
      </w:r>
    </w:p>
    <w:p w14:paraId="13862F98" w14:textId="77777777" w:rsidR="0021066D" w:rsidRDefault="0021066D" w:rsidP="0021066D">
      <w:pPr>
        <w:pStyle w:val="Prrafodelista"/>
        <w:numPr>
          <w:ilvl w:val="0"/>
          <w:numId w:val="32"/>
        </w:numPr>
        <w:jc w:val="both"/>
      </w:pPr>
      <w:r>
        <w:t>En las ROP específicamente en el punto 5. PROCEDIMIENTO DE SELECCIÓN, se puntualizan los pasos para llevar a cabo la selección de los beneficiarios y/o proyectos y en el punto 6. CARACTERISITICAS DE LOS APOYOS, se detalla la distribución, montos de apoyo y la entrega de los recursos.</w:t>
      </w:r>
    </w:p>
    <w:p w14:paraId="1DDC9989" w14:textId="77777777" w:rsidR="0021066D" w:rsidRDefault="0021066D" w:rsidP="0021066D">
      <w:pPr>
        <w:pStyle w:val="Prrafodelista"/>
        <w:numPr>
          <w:ilvl w:val="0"/>
          <w:numId w:val="32"/>
        </w:numPr>
        <w:jc w:val="both"/>
      </w:pPr>
      <w:r>
        <w:t>En las ROP Nacional específicamente se define las temáticas y poblaciones que se atenderán de manera anual.</w:t>
      </w:r>
    </w:p>
    <w:p w14:paraId="32FAE2E7" w14:textId="77777777" w:rsidR="0021066D" w:rsidRDefault="0021066D" w:rsidP="0021066D">
      <w:pPr>
        <w:pStyle w:val="Prrafodelista"/>
        <w:numPr>
          <w:ilvl w:val="0"/>
          <w:numId w:val="32"/>
        </w:numPr>
        <w:jc w:val="both"/>
      </w:pPr>
      <w:r>
        <w:lastRenderedPageBreak/>
        <w:t>Se cuenta con una base de datos interna que permite conocer las personas beneficiarias por las capacitaciones que ofrece el programa, misma que permite conocer por género, edad, etnia, escolaridad, ubicación geográfica, etc.</w:t>
      </w:r>
    </w:p>
    <w:p w14:paraId="5DDF925B" w14:textId="77777777" w:rsidR="0021066D" w:rsidRDefault="0021066D" w:rsidP="0021066D">
      <w:pPr>
        <w:pStyle w:val="Prrafodelista"/>
        <w:numPr>
          <w:ilvl w:val="0"/>
          <w:numId w:val="32"/>
        </w:numPr>
        <w:jc w:val="both"/>
      </w:pPr>
      <w:r>
        <w:t>En las ROP específicamente en el punto 5. PROCEDIMIENTO DE SELECCIÓN, se puntualizan los pasos para llevar a cabo la selección de los beneficiarios y/o proyectos. Además, en el punto 6. CARACTERISITICAS DE LOS APOYOS, se detalla la distribución, montos de apoyo y la entrega de los recursos.</w:t>
      </w:r>
    </w:p>
    <w:p w14:paraId="64FE901D" w14:textId="77777777" w:rsidR="0021066D" w:rsidRDefault="0021066D" w:rsidP="0021066D">
      <w:pPr>
        <w:pStyle w:val="Prrafodelista"/>
        <w:numPr>
          <w:ilvl w:val="0"/>
          <w:numId w:val="32"/>
        </w:numPr>
        <w:jc w:val="both"/>
      </w:pPr>
      <w:r>
        <w:t>Se cuenta con una base de datos interna que permite conocer las personas beneficiarias por las capacitaciones que ofrece el programa, misma que permite conocer por género, edad, etnia, escolaridad, ubicación geográfica, etc.</w:t>
      </w:r>
    </w:p>
    <w:p w14:paraId="14EB8753" w14:textId="77777777" w:rsidR="0021066D" w:rsidRDefault="0021066D" w:rsidP="0021066D">
      <w:pPr>
        <w:pStyle w:val="Prrafodelista"/>
        <w:numPr>
          <w:ilvl w:val="0"/>
          <w:numId w:val="32"/>
        </w:numPr>
        <w:jc w:val="both"/>
      </w:pPr>
      <w:r>
        <w:t>En la plataforma del INMUJERES se capturan los principales indicadores que tiene el programa.</w:t>
      </w:r>
    </w:p>
    <w:p w14:paraId="2AB32603" w14:textId="77777777" w:rsidR="0021066D" w:rsidRDefault="0021066D" w:rsidP="0021066D">
      <w:pPr>
        <w:pStyle w:val="Prrafodelista"/>
        <w:numPr>
          <w:ilvl w:val="0"/>
          <w:numId w:val="32"/>
        </w:numPr>
        <w:jc w:val="both"/>
      </w:pPr>
      <w:r>
        <w:t>La información de los gastos desglosados se incluye en el Anexo 7 “Gastos desglosados del programa y criterios de clasificación”.</w:t>
      </w:r>
    </w:p>
    <w:p w14:paraId="35C61709" w14:textId="77777777" w:rsidR="0021066D" w:rsidRDefault="0021066D" w:rsidP="0021066D">
      <w:pPr>
        <w:pStyle w:val="Prrafodelista"/>
        <w:numPr>
          <w:ilvl w:val="0"/>
          <w:numId w:val="32"/>
        </w:numPr>
        <w:jc w:val="both"/>
      </w:pPr>
      <w:r>
        <w:t>Se cuenta con el sitio web SEMUJERES (https://semujeres.sinaloa.gob.mx/bienvenida/) en el cual se puede encontrar con información relevante de la Secretaría de las Mujeres.</w:t>
      </w:r>
    </w:p>
    <w:p w14:paraId="0B6E74DC" w14:textId="77777777" w:rsidR="0021066D" w:rsidRDefault="0021066D" w:rsidP="0021066D">
      <w:pPr>
        <w:pStyle w:val="Prrafodelista"/>
        <w:numPr>
          <w:ilvl w:val="0"/>
          <w:numId w:val="32"/>
        </w:numPr>
        <w:jc w:val="both"/>
      </w:pPr>
      <w:r>
        <w:t>En la siguiente liga https://semujeres.sinaloa.gob.mx/category/transversalidad-2022/, se encuentran publicados documentos normativos respecto al programa.</w:t>
      </w:r>
    </w:p>
    <w:p w14:paraId="2785E56E" w14:textId="77777777" w:rsidR="0021066D" w:rsidRDefault="0021066D" w:rsidP="0021066D">
      <w:pPr>
        <w:pStyle w:val="Prrafodelista"/>
        <w:numPr>
          <w:ilvl w:val="0"/>
          <w:numId w:val="32"/>
        </w:numPr>
        <w:jc w:val="both"/>
      </w:pPr>
      <w:r>
        <w:t>En las ROP específicamente en el punto 5. PROCEDIMIENTO DE SELECCIÓN, se puntualizan los pasos para llevar a cabo la selección de los beneficiarios y/o proyectos. Además, en el punto 6. CARACTERISITICAS DE LOS APOYOS, se detalla la distribución, montos de apoyo y la entrega de los recursos.</w:t>
      </w:r>
    </w:p>
    <w:p w14:paraId="56BF67B4" w14:textId="77777777" w:rsidR="0021066D" w:rsidRDefault="0021066D" w:rsidP="0021066D">
      <w:pPr>
        <w:pStyle w:val="Prrafodelista"/>
        <w:numPr>
          <w:ilvl w:val="0"/>
          <w:numId w:val="32"/>
        </w:numPr>
        <w:jc w:val="both"/>
      </w:pPr>
      <w:r>
        <w:t>Se presenta complementariedad con el Programa de Fortalecimiento a la Transversalidad de la Perspectiva de Género (PFTPG).</w:t>
      </w:r>
    </w:p>
    <w:p w14:paraId="3107AEFF" w14:textId="709BBECE" w:rsidR="0084654C" w:rsidRDefault="0084654C" w:rsidP="00113BCD">
      <w:pPr>
        <w:ind w:left="708"/>
        <w:jc w:val="both"/>
      </w:pPr>
      <w:r w:rsidRPr="002C6C31">
        <w:t>De igual manera, es posible detectar las siguientes debilidades y amenazas:</w:t>
      </w:r>
    </w:p>
    <w:p w14:paraId="7BA2F9B5" w14:textId="77777777" w:rsidR="0021066D" w:rsidRDefault="0021066D" w:rsidP="0021066D">
      <w:pPr>
        <w:pStyle w:val="Prrafodelista"/>
        <w:numPr>
          <w:ilvl w:val="0"/>
          <w:numId w:val="32"/>
        </w:numPr>
        <w:jc w:val="both"/>
      </w:pPr>
      <w:r>
        <w:t>No se cuantifican las poblaciones para el Estado de Sinaloa.</w:t>
      </w:r>
    </w:p>
    <w:p w14:paraId="36529628" w14:textId="77777777" w:rsidR="0021066D" w:rsidRDefault="0021066D" w:rsidP="0021066D">
      <w:pPr>
        <w:pStyle w:val="Prrafodelista"/>
        <w:numPr>
          <w:ilvl w:val="0"/>
          <w:numId w:val="32"/>
        </w:numPr>
        <w:jc w:val="both"/>
      </w:pPr>
      <w:r>
        <w:t>No se cuenta con una Matriz de Indicadores para Resultados (MIR) del ejercicio fiscal 2022.</w:t>
      </w:r>
    </w:p>
    <w:p w14:paraId="44D8E05C" w14:textId="77777777" w:rsidR="0021066D" w:rsidRDefault="0021066D" w:rsidP="0021066D">
      <w:pPr>
        <w:pStyle w:val="Prrafodelista"/>
        <w:numPr>
          <w:ilvl w:val="0"/>
          <w:numId w:val="32"/>
        </w:numPr>
        <w:jc w:val="both"/>
      </w:pPr>
      <w:r>
        <w:t>No se recolecta información socioeconómica de sus beneficiarios.</w:t>
      </w:r>
    </w:p>
    <w:p w14:paraId="4F23F985" w14:textId="77777777" w:rsidR="0021066D" w:rsidRDefault="0021066D" w:rsidP="0021066D">
      <w:pPr>
        <w:pStyle w:val="Prrafodelista"/>
        <w:numPr>
          <w:ilvl w:val="0"/>
          <w:numId w:val="32"/>
        </w:numPr>
        <w:jc w:val="both"/>
      </w:pPr>
      <w:r>
        <w:t>No se cuenta con una MIR, ni con fichas técnicas de los indicadores, así como el árbol del problema.</w:t>
      </w:r>
    </w:p>
    <w:p w14:paraId="322843D3" w14:textId="77777777" w:rsidR="0021066D" w:rsidRDefault="0021066D" w:rsidP="0021066D">
      <w:pPr>
        <w:pStyle w:val="Prrafodelista"/>
        <w:numPr>
          <w:ilvl w:val="0"/>
          <w:numId w:val="32"/>
        </w:numPr>
        <w:jc w:val="both"/>
      </w:pPr>
      <w:r>
        <w:t>No se explica la metodología, las fórmulas de cuantificación, las fuentes de información utilizadas y las áreas de mejora identificadas.</w:t>
      </w:r>
    </w:p>
    <w:p w14:paraId="4DBECDB1" w14:textId="77777777" w:rsidR="0021066D" w:rsidRDefault="0021066D" w:rsidP="0021066D">
      <w:pPr>
        <w:pStyle w:val="Prrafodelista"/>
        <w:numPr>
          <w:ilvl w:val="0"/>
          <w:numId w:val="32"/>
        </w:numPr>
        <w:jc w:val="both"/>
      </w:pPr>
      <w:r>
        <w:t>Es necesario que se difundan los resultados principales del programa.</w:t>
      </w:r>
    </w:p>
    <w:p w14:paraId="21F3E989" w14:textId="04A9A81C" w:rsidR="0084654C" w:rsidRPr="002F6A18" w:rsidRDefault="0084654C" w:rsidP="0021066D">
      <w:pPr>
        <w:pStyle w:val="Prrafodelista"/>
        <w:ind w:left="1068"/>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275B7006" w14:textId="77777777" w:rsidR="0084654C" w:rsidRPr="0084654C" w:rsidRDefault="0084654C" w:rsidP="0084654C">
      <w:pPr>
        <w:pStyle w:val="Prrafodelista"/>
        <w:numPr>
          <w:ilvl w:val="0"/>
          <w:numId w:val="8"/>
        </w:numPr>
        <w:spacing w:line="276" w:lineRule="auto"/>
      </w:pPr>
      <w:r w:rsidRPr="0084654C">
        <w:t>Atiende necesidades.</w:t>
      </w:r>
    </w:p>
    <w:p w14:paraId="79E557F7" w14:textId="7D89300E" w:rsidR="0084654C" w:rsidRPr="0084654C" w:rsidRDefault="0084654C" w:rsidP="0084654C">
      <w:pPr>
        <w:pStyle w:val="Prrafodelista"/>
        <w:numPr>
          <w:ilvl w:val="0"/>
          <w:numId w:val="8"/>
        </w:numPr>
        <w:spacing w:line="276" w:lineRule="auto"/>
      </w:pPr>
      <w:r w:rsidRPr="0084654C">
        <w:t>Intereses.</w:t>
      </w:r>
    </w:p>
    <w:p w14:paraId="6E6C8B00" w14:textId="4E2A9C5B" w:rsidR="0084654C" w:rsidRPr="0084654C" w:rsidRDefault="0084654C" w:rsidP="0084654C">
      <w:pPr>
        <w:pStyle w:val="Prrafodelista"/>
        <w:numPr>
          <w:ilvl w:val="0"/>
          <w:numId w:val="8"/>
        </w:numPr>
        <w:spacing w:line="276" w:lineRule="auto"/>
      </w:pPr>
      <w:r w:rsidRPr="0084654C">
        <w:t>Fomenta el desarrollo de las mujeres.</w:t>
      </w:r>
    </w:p>
    <w:p w14:paraId="551D6AF9" w14:textId="2EB05BCD" w:rsidR="0084654C" w:rsidRPr="0084654C" w:rsidRDefault="0084654C" w:rsidP="0084654C">
      <w:pPr>
        <w:pStyle w:val="Prrafodelista"/>
        <w:numPr>
          <w:ilvl w:val="0"/>
          <w:numId w:val="8"/>
        </w:numPr>
        <w:spacing w:line="276" w:lineRule="auto"/>
      </w:pPr>
      <w:r w:rsidRPr="0084654C">
        <w:t>Impulsa la participación.</w:t>
      </w:r>
    </w:p>
    <w:p w14:paraId="0983D7BA" w14:textId="66DB1ED6" w:rsidR="00B72B03" w:rsidRPr="00B72B03" w:rsidRDefault="0084654C" w:rsidP="0084654C">
      <w:pPr>
        <w:pStyle w:val="Prrafodelista"/>
        <w:numPr>
          <w:ilvl w:val="0"/>
          <w:numId w:val="8"/>
        </w:numPr>
        <w:spacing w:line="276" w:lineRule="auto"/>
      </w:pPr>
      <w:r w:rsidRPr="0084654C">
        <w:t>Disminuye las brechas de igualdad de género.</w:t>
      </w:r>
    </w:p>
    <w:p w14:paraId="3A39C1FA" w14:textId="72695A5D"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37AB4E19" w14:textId="3A11AE61" w:rsidR="0084654C" w:rsidRPr="0084654C" w:rsidRDefault="0084654C" w:rsidP="0084654C">
      <w:pPr>
        <w:pStyle w:val="Prrafodelista"/>
        <w:numPr>
          <w:ilvl w:val="0"/>
          <w:numId w:val="8"/>
        </w:numPr>
        <w:spacing w:line="276" w:lineRule="auto"/>
      </w:pPr>
      <w:r w:rsidRPr="0084654C">
        <w:lastRenderedPageBreak/>
        <w:t>Avanzar en temas de igualdad de género.</w:t>
      </w:r>
    </w:p>
    <w:p w14:paraId="41DFD479" w14:textId="2244F2F5" w:rsidR="0084654C" w:rsidRPr="0084654C" w:rsidRDefault="0084654C" w:rsidP="0084654C">
      <w:pPr>
        <w:pStyle w:val="Prrafodelista"/>
        <w:numPr>
          <w:ilvl w:val="0"/>
          <w:numId w:val="8"/>
        </w:numPr>
        <w:spacing w:line="276" w:lineRule="auto"/>
      </w:pPr>
      <w:r w:rsidRPr="0084654C">
        <w:t>Impulsar el empoderamiento.</w:t>
      </w:r>
    </w:p>
    <w:p w14:paraId="42E6F30F" w14:textId="744ABB3C" w:rsidR="0084654C" w:rsidRPr="0084654C" w:rsidRDefault="0084654C" w:rsidP="0084654C">
      <w:pPr>
        <w:pStyle w:val="Prrafodelista"/>
        <w:numPr>
          <w:ilvl w:val="0"/>
          <w:numId w:val="8"/>
        </w:numPr>
        <w:spacing w:line="276" w:lineRule="auto"/>
      </w:pPr>
      <w:r w:rsidRPr="0084654C">
        <w:t>Evitar la discriminación.</w:t>
      </w:r>
    </w:p>
    <w:p w14:paraId="31075CC5" w14:textId="3CEA6438" w:rsidR="0084654C" w:rsidRPr="0084654C" w:rsidRDefault="0084654C" w:rsidP="0084654C">
      <w:pPr>
        <w:pStyle w:val="Prrafodelista"/>
        <w:numPr>
          <w:ilvl w:val="0"/>
          <w:numId w:val="8"/>
        </w:numPr>
        <w:spacing w:line="276" w:lineRule="auto"/>
      </w:pPr>
      <w:r w:rsidRPr="0084654C">
        <w:t>Nos permite oportunidades para fortalecer las habilidades, capacidades y conocimiento de las mujeres.</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394BDFC5" w14:textId="0C85D6A9" w:rsidR="0084654C" w:rsidRPr="0084654C" w:rsidRDefault="0084654C" w:rsidP="0084654C">
      <w:pPr>
        <w:pStyle w:val="Prrafodelista"/>
        <w:numPr>
          <w:ilvl w:val="0"/>
          <w:numId w:val="8"/>
        </w:numPr>
        <w:spacing w:line="276" w:lineRule="auto"/>
      </w:pPr>
      <w:r w:rsidRPr="0084654C">
        <w:t>Falta de estructura.</w:t>
      </w:r>
    </w:p>
    <w:p w14:paraId="2ED45525" w14:textId="69D3A394" w:rsidR="0084654C" w:rsidRPr="0084654C" w:rsidRDefault="0084654C" w:rsidP="0084654C">
      <w:pPr>
        <w:pStyle w:val="Prrafodelista"/>
        <w:numPr>
          <w:ilvl w:val="0"/>
          <w:numId w:val="8"/>
        </w:numPr>
        <w:spacing w:line="276" w:lineRule="auto"/>
      </w:pPr>
      <w:r w:rsidRPr="0084654C">
        <w:t>Metodología.</w:t>
      </w:r>
    </w:p>
    <w:p w14:paraId="22D33859" w14:textId="084A062A" w:rsidR="0084654C" w:rsidRPr="0084654C" w:rsidRDefault="0084654C" w:rsidP="0084654C">
      <w:pPr>
        <w:pStyle w:val="Prrafodelista"/>
        <w:numPr>
          <w:ilvl w:val="0"/>
          <w:numId w:val="8"/>
        </w:numPr>
        <w:spacing w:line="276" w:lineRule="auto"/>
      </w:pPr>
      <w:r>
        <w:t>C</w:t>
      </w:r>
      <w:r w:rsidRPr="0084654C">
        <w:t>riterios pocos claros.</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2C984087" w14:textId="07B9155C" w:rsidR="00EB2E68" w:rsidRPr="0084654C" w:rsidRDefault="00E76CBF" w:rsidP="0084654C">
      <w:pPr>
        <w:pStyle w:val="Prrafodelista"/>
        <w:numPr>
          <w:ilvl w:val="0"/>
          <w:numId w:val="8"/>
        </w:numPr>
        <w:spacing w:line="276" w:lineRule="auto"/>
      </w:pPr>
      <w:r w:rsidRPr="0084654C">
        <w:t xml:space="preserve">Los </w:t>
      </w:r>
      <w:r w:rsidR="0084654C" w:rsidRPr="0084654C">
        <w:t>obstáculos</w:t>
      </w:r>
      <w:r w:rsidRPr="0084654C">
        <w:t xml:space="preserve"> que se presenta por el hecho de no tener una estructura correcta del programa.</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037D82EB" w14:textId="77777777" w:rsidR="0084654C" w:rsidRPr="002C6C31" w:rsidRDefault="0084654C" w:rsidP="0084654C">
      <w:pPr>
        <w:spacing w:line="240" w:lineRule="auto"/>
        <w:ind w:left="284"/>
        <w:jc w:val="both"/>
        <w:rPr>
          <w:lang w:val="es-ES"/>
        </w:rPr>
      </w:pPr>
      <w:r w:rsidRPr="002C6C31">
        <w:rPr>
          <w:lang w:val="es-ES"/>
        </w:rPr>
        <w:t xml:space="preserve">La ED se basa en responder 30 preguntas que abordan los temas de diseño y se divide en siete apartados, además, en la elaboración de diversos anexos. </w:t>
      </w:r>
    </w:p>
    <w:p w14:paraId="01141D95" w14:textId="77777777" w:rsidR="0084654C" w:rsidRPr="002C6C31" w:rsidRDefault="0084654C" w:rsidP="0084654C">
      <w:pPr>
        <w:spacing w:line="240" w:lineRule="auto"/>
        <w:ind w:left="284"/>
        <w:jc w:val="both"/>
        <w:rPr>
          <w:lang w:val="es-ES"/>
        </w:rPr>
      </w:pPr>
      <w:r w:rsidRPr="002C6C31">
        <w:rPr>
          <w:lang w:val="es-ES"/>
        </w:rPr>
        <w:t>De las 30 preguntas, 24 deben ser respondidas mediante un esquema binario (SÍ/NO) sustentando con evidencia documental y haciendo explícitos los principales argumentos empleados en el análisis. Estas preguntas presentan diversos niveles de respuesta cuya puntuación más alta es de 4 y la mínima de 0 cuando la respuesta es no.</w:t>
      </w:r>
    </w:p>
    <w:p w14:paraId="7BBF970C" w14:textId="6025AC9E" w:rsidR="0084654C" w:rsidRDefault="0084654C" w:rsidP="0084654C">
      <w:pPr>
        <w:spacing w:line="240" w:lineRule="auto"/>
        <w:ind w:left="284"/>
        <w:jc w:val="both"/>
        <w:rPr>
          <w:lang w:val="es-ES"/>
        </w:rPr>
      </w:pPr>
      <w:r w:rsidRPr="002C6C31">
        <w:rPr>
          <w:lang w:val="es-ES"/>
        </w:rPr>
        <w:t>Con base en las preguntas que tienen una repuesta binaria y que presentan una calificación se obtuvieron los resultados anotados en el siguiente cuadro. Como se puede observar</w:t>
      </w:r>
      <w:r>
        <w:rPr>
          <w:lang w:val="es-ES"/>
        </w:rPr>
        <w:t>, la puntuación global es de 1.</w:t>
      </w:r>
      <w:r w:rsidR="0021066D">
        <w:rPr>
          <w:lang w:val="es-ES"/>
        </w:rPr>
        <w:t>88</w:t>
      </w:r>
      <w:r w:rsidRPr="002C6C31">
        <w:rPr>
          <w:lang w:val="es-ES"/>
        </w:rPr>
        <w:t xml:space="preserve"> sobre una calificación máxima de 4 para cada uno de los temas, destacándose las notas de operación, y cobertura y focalización, sin embargo, es preciso anotar la calificación que se obtuvo en los siete apartados, como se muestra a continuación:</w:t>
      </w:r>
    </w:p>
    <w:tbl>
      <w:tblPr>
        <w:tblStyle w:val="Tablaconcuadrcula"/>
        <w:tblW w:w="3934"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12"/>
        <w:gridCol w:w="1285"/>
      </w:tblGrid>
      <w:tr w:rsidR="0084654C" w14:paraId="7B02C426" w14:textId="77777777" w:rsidTr="00572598">
        <w:trPr>
          <w:trHeight w:val="630"/>
          <w:jc w:val="center"/>
        </w:trPr>
        <w:tc>
          <w:tcPr>
            <w:tcW w:w="4176" w:type="pct"/>
            <w:shd w:val="clear" w:color="auto" w:fill="404040" w:themeFill="text1" w:themeFillTint="BF"/>
            <w:vAlign w:val="center"/>
          </w:tcPr>
          <w:p w14:paraId="001290DD" w14:textId="77777777" w:rsidR="0084654C" w:rsidRPr="00831510" w:rsidRDefault="0084654C" w:rsidP="00572598">
            <w:pPr>
              <w:spacing w:after="0" w:line="240" w:lineRule="auto"/>
              <w:jc w:val="center"/>
              <w:rPr>
                <w:color w:val="FFFFFF" w:themeColor="background1"/>
              </w:rPr>
            </w:pPr>
            <w:r w:rsidRPr="00831510">
              <w:rPr>
                <w:color w:val="FFFFFF" w:themeColor="background1"/>
              </w:rPr>
              <w:t>Tema</w:t>
            </w:r>
          </w:p>
        </w:tc>
        <w:tc>
          <w:tcPr>
            <w:tcW w:w="824" w:type="pct"/>
            <w:shd w:val="clear" w:color="auto" w:fill="404040" w:themeFill="text1" w:themeFillTint="BF"/>
            <w:vAlign w:val="center"/>
          </w:tcPr>
          <w:p w14:paraId="634C23B5" w14:textId="77777777" w:rsidR="0084654C" w:rsidRPr="00831510" w:rsidRDefault="0084654C" w:rsidP="00572598">
            <w:pPr>
              <w:spacing w:after="0" w:line="240" w:lineRule="auto"/>
              <w:jc w:val="center"/>
              <w:rPr>
                <w:color w:val="FFFFFF" w:themeColor="background1"/>
              </w:rPr>
            </w:pPr>
            <w:r w:rsidRPr="00831510">
              <w:rPr>
                <w:color w:val="FFFFFF" w:themeColor="background1"/>
              </w:rPr>
              <w:t>Calificación ponderada</w:t>
            </w:r>
          </w:p>
        </w:tc>
      </w:tr>
      <w:tr w:rsidR="0021066D" w14:paraId="47595B76" w14:textId="77777777" w:rsidTr="005D29D7">
        <w:trPr>
          <w:trHeight w:val="20"/>
          <w:jc w:val="center"/>
        </w:trPr>
        <w:tc>
          <w:tcPr>
            <w:tcW w:w="4176" w:type="pct"/>
            <w:vAlign w:val="center"/>
          </w:tcPr>
          <w:p w14:paraId="342BD4C6" w14:textId="77777777" w:rsidR="0021066D" w:rsidRDefault="0021066D" w:rsidP="0021066D">
            <w:pPr>
              <w:spacing w:after="0" w:line="240" w:lineRule="auto"/>
            </w:pPr>
            <w:r w:rsidRPr="006D6278">
              <w:t>Justificación de la creación y del diseño del programa</w:t>
            </w:r>
          </w:p>
        </w:tc>
        <w:tc>
          <w:tcPr>
            <w:tcW w:w="824" w:type="pct"/>
            <w:shd w:val="clear" w:color="auto" w:fill="auto"/>
            <w:vAlign w:val="center"/>
          </w:tcPr>
          <w:p w14:paraId="108E8A39" w14:textId="370B012B" w:rsidR="0021066D" w:rsidRDefault="0021066D" w:rsidP="0021066D">
            <w:pPr>
              <w:spacing w:after="0" w:line="240" w:lineRule="auto"/>
              <w:jc w:val="center"/>
            </w:pPr>
            <w:r>
              <w:t>2.33</w:t>
            </w:r>
          </w:p>
        </w:tc>
      </w:tr>
      <w:tr w:rsidR="0021066D" w14:paraId="390617BF" w14:textId="77777777" w:rsidTr="005D29D7">
        <w:trPr>
          <w:trHeight w:val="20"/>
          <w:jc w:val="center"/>
        </w:trPr>
        <w:tc>
          <w:tcPr>
            <w:tcW w:w="4176" w:type="pct"/>
            <w:vAlign w:val="center"/>
          </w:tcPr>
          <w:p w14:paraId="4A16A4E5" w14:textId="77777777" w:rsidR="0021066D" w:rsidRDefault="0021066D" w:rsidP="0021066D">
            <w:pPr>
              <w:spacing w:after="0" w:line="240" w:lineRule="auto"/>
            </w:pPr>
            <w:r w:rsidRPr="006D6278">
              <w:t>Contribución a la meta y objetivos nacionales</w:t>
            </w:r>
          </w:p>
        </w:tc>
        <w:tc>
          <w:tcPr>
            <w:tcW w:w="824" w:type="pct"/>
            <w:shd w:val="clear" w:color="auto" w:fill="auto"/>
            <w:vAlign w:val="center"/>
          </w:tcPr>
          <w:p w14:paraId="61C0B5AA" w14:textId="626A6225" w:rsidR="0021066D" w:rsidRDefault="0021066D" w:rsidP="0021066D">
            <w:pPr>
              <w:spacing w:after="0" w:line="240" w:lineRule="auto"/>
              <w:jc w:val="center"/>
            </w:pPr>
            <w:r>
              <w:t>2.00</w:t>
            </w:r>
          </w:p>
        </w:tc>
      </w:tr>
      <w:tr w:rsidR="0021066D" w14:paraId="6403531A" w14:textId="77777777" w:rsidTr="005D29D7">
        <w:trPr>
          <w:trHeight w:val="20"/>
          <w:jc w:val="center"/>
        </w:trPr>
        <w:tc>
          <w:tcPr>
            <w:tcW w:w="4176" w:type="pct"/>
            <w:vAlign w:val="center"/>
          </w:tcPr>
          <w:p w14:paraId="39C9BDD3" w14:textId="77777777" w:rsidR="0021066D" w:rsidRDefault="0021066D" w:rsidP="0021066D">
            <w:pPr>
              <w:spacing w:after="0" w:line="240" w:lineRule="auto"/>
            </w:pPr>
            <w:r w:rsidRPr="006D6278">
              <w:t>Población potencial, objetivo y mecanismos de elegibilidad</w:t>
            </w:r>
          </w:p>
        </w:tc>
        <w:tc>
          <w:tcPr>
            <w:tcW w:w="824" w:type="pct"/>
            <w:shd w:val="clear" w:color="auto" w:fill="auto"/>
            <w:vAlign w:val="center"/>
          </w:tcPr>
          <w:p w14:paraId="0B840D6A" w14:textId="1B20ADC2" w:rsidR="0021066D" w:rsidRDefault="0021066D" w:rsidP="0021066D">
            <w:pPr>
              <w:spacing w:after="0" w:line="240" w:lineRule="auto"/>
              <w:jc w:val="center"/>
            </w:pPr>
            <w:r>
              <w:t>2.60</w:t>
            </w:r>
          </w:p>
        </w:tc>
      </w:tr>
      <w:tr w:rsidR="0021066D" w14:paraId="7F0BE1AC" w14:textId="77777777" w:rsidTr="005D29D7">
        <w:trPr>
          <w:trHeight w:val="20"/>
          <w:jc w:val="center"/>
        </w:trPr>
        <w:tc>
          <w:tcPr>
            <w:tcW w:w="4176" w:type="pct"/>
            <w:vAlign w:val="center"/>
          </w:tcPr>
          <w:p w14:paraId="6E98041A" w14:textId="77777777" w:rsidR="0021066D" w:rsidRDefault="0021066D" w:rsidP="0021066D">
            <w:pPr>
              <w:spacing w:after="0" w:line="240" w:lineRule="auto"/>
            </w:pPr>
            <w:r w:rsidRPr="006D6278">
              <w:t>Padrón de beneficiarios y mecanismos de atención</w:t>
            </w:r>
          </w:p>
        </w:tc>
        <w:tc>
          <w:tcPr>
            <w:tcW w:w="824" w:type="pct"/>
            <w:shd w:val="clear" w:color="auto" w:fill="auto"/>
            <w:vAlign w:val="center"/>
          </w:tcPr>
          <w:p w14:paraId="58E25CB8" w14:textId="30A2D2C6" w:rsidR="0021066D" w:rsidRDefault="0021066D" w:rsidP="0021066D">
            <w:pPr>
              <w:spacing w:after="0" w:line="240" w:lineRule="auto"/>
              <w:jc w:val="center"/>
            </w:pPr>
            <w:r>
              <w:t>3.00</w:t>
            </w:r>
          </w:p>
        </w:tc>
      </w:tr>
      <w:tr w:rsidR="0021066D" w14:paraId="6AB98717" w14:textId="77777777" w:rsidTr="005D29D7">
        <w:trPr>
          <w:trHeight w:val="20"/>
          <w:jc w:val="center"/>
        </w:trPr>
        <w:tc>
          <w:tcPr>
            <w:tcW w:w="4176" w:type="pct"/>
            <w:vAlign w:val="center"/>
          </w:tcPr>
          <w:p w14:paraId="05DD73BB" w14:textId="77777777" w:rsidR="0021066D" w:rsidRDefault="0021066D" w:rsidP="0021066D">
            <w:pPr>
              <w:spacing w:after="0" w:line="240" w:lineRule="auto"/>
            </w:pPr>
            <w:r w:rsidRPr="006D6278">
              <w:t>Matriz de Indicadores para Resultados</w:t>
            </w:r>
          </w:p>
        </w:tc>
        <w:tc>
          <w:tcPr>
            <w:tcW w:w="824" w:type="pct"/>
            <w:shd w:val="clear" w:color="auto" w:fill="auto"/>
            <w:vAlign w:val="center"/>
          </w:tcPr>
          <w:p w14:paraId="1BAD844F" w14:textId="5972AA4F" w:rsidR="0021066D" w:rsidRDefault="0021066D" w:rsidP="0021066D">
            <w:pPr>
              <w:spacing w:after="0" w:line="240" w:lineRule="auto"/>
              <w:jc w:val="center"/>
            </w:pPr>
            <w:r>
              <w:t>0.00</w:t>
            </w:r>
          </w:p>
        </w:tc>
      </w:tr>
      <w:tr w:rsidR="0021066D" w14:paraId="79F0229B" w14:textId="77777777" w:rsidTr="005D29D7">
        <w:trPr>
          <w:trHeight w:val="20"/>
          <w:jc w:val="center"/>
        </w:trPr>
        <w:tc>
          <w:tcPr>
            <w:tcW w:w="4176" w:type="pct"/>
            <w:vAlign w:val="center"/>
          </w:tcPr>
          <w:p w14:paraId="6A8066A1" w14:textId="77777777" w:rsidR="0021066D" w:rsidRDefault="0021066D" w:rsidP="0021066D">
            <w:pPr>
              <w:spacing w:after="0" w:line="240" w:lineRule="auto"/>
            </w:pPr>
            <w:r w:rsidRPr="006D6278">
              <w:t>Presupuesto y rendición de cuentas</w:t>
            </w:r>
          </w:p>
        </w:tc>
        <w:tc>
          <w:tcPr>
            <w:tcW w:w="824" w:type="pct"/>
            <w:shd w:val="clear" w:color="auto" w:fill="auto"/>
            <w:vAlign w:val="center"/>
          </w:tcPr>
          <w:p w14:paraId="5AEE1032" w14:textId="59663FE7" w:rsidR="0021066D" w:rsidRDefault="0021066D" w:rsidP="0021066D">
            <w:pPr>
              <w:spacing w:after="0" w:line="240" w:lineRule="auto"/>
              <w:jc w:val="center"/>
            </w:pPr>
            <w:r>
              <w:t>1.33</w:t>
            </w:r>
          </w:p>
        </w:tc>
      </w:tr>
      <w:tr w:rsidR="0021066D" w14:paraId="6E80FCC2" w14:textId="77777777" w:rsidTr="005D29D7">
        <w:trPr>
          <w:trHeight w:val="20"/>
          <w:jc w:val="center"/>
        </w:trPr>
        <w:tc>
          <w:tcPr>
            <w:tcW w:w="4176" w:type="pct"/>
            <w:vAlign w:val="center"/>
          </w:tcPr>
          <w:p w14:paraId="0C6C895A" w14:textId="77777777" w:rsidR="0021066D" w:rsidRDefault="0021066D" w:rsidP="0021066D">
            <w:pPr>
              <w:spacing w:after="0" w:line="240" w:lineRule="auto"/>
            </w:pPr>
            <w:r w:rsidRPr="006D6278">
              <w:t>Complementariedades y coincidencias con otros programas federales</w:t>
            </w:r>
          </w:p>
        </w:tc>
        <w:tc>
          <w:tcPr>
            <w:tcW w:w="824" w:type="pct"/>
            <w:shd w:val="clear" w:color="auto" w:fill="auto"/>
            <w:vAlign w:val="center"/>
          </w:tcPr>
          <w:p w14:paraId="3ADDEAAF" w14:textId="36EAC9FE" w:rsidR="0021066D" w:rsidRDefault="0021066D" w:rsidP="0021066D">
            <w:pPr>
              <w:spacing w:after="0" w:line="240" w:lineRule="auto"/>
              <w:jc w:val="center"/>
            </w:pPr>
            <w:r w:rsidRPr="00A4100F">
              <w:t>N/A</w:t>
            </w:r>
          </w:p>
        </w:tc>
      </w:tr>
      <w:tr w:rsidR="0021066D" w14:paraId="38BB43D5" w14:textId="77777777" w:rsidTr="005D29D7">
        <w:trPr>
          <w:trHeight w:val="20"/>
          <w:jc w:val="center"/>
        </w:trPr>
        <w:tc>
          <w:tcPr>
            <w:tcW w:w="4176" w:type="pct"/>
            <w:shd w:val="clear" w:color="auto" w:fill="F2F2F2" w:themeFill="background1" w:themeFillShade="F2"/>
            <w:vAlign w:val="center"/>
          </w:tcPr>
          <w:p w14:paraId="656D9FBA" w14:textId="77777777" w:rsidR="0021066D" w:rsidRDefault="0021066D" w:rsidP="0021066D">
            <w:pPr>
              <w:spacing w:after="0" w:line="240" w:lineRule="auto"/>
              <w:jc w:val="right"/>
            </w:pPr>
            <w:r>
              <w:t>Valoración final</w:t>
            </w:r>
          </w:p>
        </w:tc>
        <w:tc>
          <w:tcPr>
            <w:tcW w:w="824" w:type="pct"/>
            <w:shd w:val="clear" w:color="auto" w:fill="auto"/>
            <w:vAlign w:val="center"/>
          </w:tcPr>
          <w:p w14:paraId="39958926" w14:textId="76680472" w:rsidR="0021066D" w:rsidRDefault="0021066D" w:rsidP="0021066D">
            <w:pPr>
              <w:spacing w:after="0" w:line="240" w:lineRule="auto"/>
              <w:jc w:val="center"/>
            </w:pPr>
            <w:r>
              <w:t>1.88</w:t>
            </w:r>
          </w:p>
        </w:tc>
      </w:tr>
    </w:tbl>
    <w:p w14:paraId="032611BB" w14:textId="77777777" w:rsidR="0084654C" w:rsidRDefault="0084654C" w:rsidP="0084654C">
      <w:pPr>
        <w:spacing w:after="0" w:line="276" w:lineRule="auto"/>
        <w:ind w:left="284"/>
        <w:jc w:val="both"/>
        <w:rPr>
          <w:lang w:val="es-ES"/>
        </w:rPr>
      </w:pPr>
    </w:p>
    <w:p w14:paraId="31F36EB1" w14:textId="77777777" w:rsidR="00113BCD" w:rsidRDefault="00113BCD" w:rsidP="00A4624B">
      <w:pPr>
        <w:spacing w:after="0" w:line="276" w:lineRule="auto"/>
        <w:ind w:left="284"/>
        <w:jc w:val="both"/>
        <w:rPr>
          <w:lang w:val="es-ES"/>
        </w:rPr>
      </w:pP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1440B649" w14:textId="31FB1CA9" w:rsidR="0021066D" w:rsidRDefault="0021066D" w:rsidP="0021066D">
      <w:pPr>
        <w:pStyle w:val="Prrafodelista"/>
        <w:numPr>
          <w:ilvl w:val="0"/>
          <w:numId w:val="2"/>
        </w:numPr>
        <w:spacing w:after="0" w:line="276" w:lineRule="auto"/>
        <w:jc w:val="both"/>
      </w:pPr>
      <w:r>
        <w:lastRenderedPageBreak/>
        <w:t>Elaborar un documento donde se cuantifiquen las poblaciones (atendida, objetivo, potencial) del Estado de Sinaloa, donde se mencione la metodología para su cuantificación y fuentes de información, además de define un plazo para su revisión y actualización</w:t>
      </w:r>
      <w:r w:rsidR="00EB7D9E">
        <w:t>.</w:t>
      </w:r>
    </w:p>
    <w:p w14:paraId="119DC2D3" w14:textId="77777777" w:rsidR="0021066D" w:rsidRDefault="0021066D" w:rsidP="0021066D">
      <w:pPr>
        <w:pStyle w:val="Prrafodelista"/>
        <w:numPr>
          <w:ilvl w:val="0"/>
          <w:numId w:val="2"/>
        </w:numPr>
        <w:spacing w:after="0" w:line="276" w:lineRule="auto"/>
        <w:jc w:val="both"/>
      </w:pPr>
      <w:r>
        <w:t>Crear el Árbol del Problema, Objetivos, Selección de Alternativas, Matriz de Indicadores de Resultados (MIR), Fichas Técnicas de Indicadores, lo anterior de acuerdo con las Metodologías sobre formulación de programas con Metodología del Marco Lógico (MML) y la Guía para el Diseño de Matriz de Indicadores para Resultados (MIR).</w:t>
      </w:r>
    </w:p>
    <w:p w14:paraId="6C47C3E2" w14:textId="77777777" w:rsidR="0021066D" w:rsidRDefault="0021066D" w:rsidP="0021066D">
      <w:pPr>
        <w:pStyle w:val="Prrafodelista"/>
        <w:numPr>
          <w:ilvl w:val="0"/>
          <w:numId w:val="2"/>
        </w:numPr>
        <w:spacing w:after="0" w:line="276" w:lineRule="auto"/>
        <w:jc w:val="both"/>
      </w:pPr>
      <w:r>
        <w:t>Difundir los resultados principales del programa, así como la información para monitorear su desempeño del programa/proyecto en el sitio web.</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721E9D" w:rsidP="006E538E">
            <w:pPr>
              <w:spacing w:after="0" w:line="276" w:lineRule="auto"/>
              <w:ind w:left="179"/>
            </w:pPr>
            <w:hyperlink r:id="rId8" w:history="1">
              <w:r w:rsidR="006E538E"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19FAC5E0" w:rsidR="007C4CD6" w:rsidRPr="0084654C" w:rsidRDefault="0084654C" w:rsidP="0084654C">
            <w:pPr>
              <w:spacing w:after="0" w:line="240" w:lineRule="auto"/>
              <w:rPr>
                <w:rFonts w:cstheme="minorHAnsi"/>
                <w:sz w:val="20"/>
                <w:szCs w:val="24"/>
              </w:rPr>
            </w:pPr>
            <w:r>
              <w:rPr>
                <w:rFonts w:cstheme="minorHAnsi"/>
                <w:sz w:val="20"/>
                <w:szCs w:val="24"/>
              </w:rPr>
              <w:t>E</w:t>
            </w:r>
            <w:r w:rsidRPr="0084654C">
              <w:rPr>
                <w:rFonts w:cstheme="minorHAnsi"/>
                <w:sz w:val="20"/>
                <w:szCs w:val="24"/>
              </w:rPr>
              <w:t xml:space="preserve">017 </w:t>
            </w:r>
            <w:r>
              <w:rPr>
                <w:rFonts w:cstheme="minorHAnsi"/>
                <w:sz w:val="20"/>
                <w:szCs w:val="24"/>
              </w:rPr>
              <w:t>P</w:t>
            </w:r>
            <w:r w:rsidRPr="0084654C">
              <w:rPr>
                <w:rFonts w:cstheme="minorHAnsi"/>
                <w:sz w:val="20"/>
                <w:szCs w:val="24"/>
              </w:rPr>
              <w:t>romover la atención y prevención de la violencia contra l</w:t>
            </w:r>
            <w:r>
              <w:rPr>
                <w:rFonts w:cstheme="minorHAnsi"/>
                <w:sz w:val="20"/>
                <w:szCs w:val="24"/>
              </w:rPr>
              <w:t>as mujeres / F</w:t>
            </w:r>
            <w:r w:rsidRPr="0084654C">
              <w:rPr>
                <w:rFonts w:cstheme="minorHAnsi"/>
                <w:sz w:val="20"/>
                <w:szCs w:val="24"/>
              </w:rPr>
              <w:t>ortalecimiento a la transversalidad de la perspectiva de género</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4735A7C5" w:rsidR="007C4CD6" w:rsidRPr="007C4CD6" w:rsidRDefault="00E76CBF" w:rsidP="00521401">
            <w:pPr>
              <w:spacing w:after="0" w:line="276" w:lineRule="auto"/>
              <w:ind w:left="179"/>
            </w:pPr>
            <w:r>
              <w:t>FTPG</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5851D0ED" w:rsidR="007C4CD6" w:rsidRPr="007C4CD6" w:rsidRDefault="00E76CBF" w:rsidP="00521401">
            <w:pPr>
              <w:spacing w:after="0" w:line="276" w:lineRule="auto"/>
              <w:ind w:left="179"/>
            </w:pPr>
            <w:r>
              <w:t>Secretaría de las Mujeres (SEMUJERES)</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1B9A7E7A" w:rsidR="005A28B9" w:rsidRPr="00A16BE7" w:rsidRDefault="00E76CBF"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6C393C">
        <w:trPr>
          <w:trHeight w:val="340"/>
        </w:trPr>
        <w:tc>
          <w:tcPr>
            <w:tcW w:w="3256" w:type="dxa"/>
            <w:shd w:val="clear" w:color="auto" w:fill="auto"/>
            <w:vAlign w:val="center"/>
          </w:tcPr>
          <w:p w14:paraId="06EEC80E" w14:textId="47C0A199" w:rsidR="00090637" w:rsidRPr="006C393C" w:rsidRDefault="006C393C" w:rsidP="00287214">
            <w:pPr>
              <w:spacing w:after="0" w:line="276" w:lineRule="auto"/>
              <w:jc w:val="center"/>
              <w:rPr>
                <w:bCs/>
              </w:rPr>
            </w:pPr>
            <w:r w:rsidRPr="006C393C">
              <w:rPr>
                <w:bCs/>
              </w:rPr>
              <w:t>X</w:t>
            </w:r>
          </w:p>
        </w:tc>
        <w:tc>
          <w:tcPr>
            <w:tcW w:w="3402" w:type="dxa"/>
            <w:shd w:val="clear" w:color="auto" w:fill="auto"/>
            <w:vAlign w:val="center"/>
          </w:tcPr>
          <w:p w14:paraId="117D875F" w14:textId="7E719635" w:rsidR="00090637" w:rsidRPr="006C393C" w:rsidRDefault="00090637" w:rsidP="00287214">
            <w:pPr>
              <w:spacing w:after="0" w:line="276" w:lineRule="auto"/>
              <w:jc w:val="center"/>
            </w:pPr>
          </w:p>
        </w:tc>
        <w:tc>
          <w:tcPr>
            <w:tcW w:w="3252" w:type="dxa"/>
            <w:shd w:val="clear" w:color="auto" w:fill="auto"/>
            <w:vAlign w:val="center"/>
          </w:tcPr>
          <w:p w14:paraId="17BF0987" w14:textId="77777777" w:rsidR="00090637" w:rsidRPr="006C393C"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lastRenderedPageBreak/>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6C393C">
        <w:trPr>
          <w:trHeight w:val="340"/>
        </w:trPr>
        <w:tc>
          <w:tcPr>
            <w:tcW w:w="9910" w:type="dxa"/>
            <w:gridSpan w:val="3"/>
            <w:shd w:val="clear" w:color="auto" w:fill="auto"/>
          </w:tcPr>
          <w:p w14:paraId="7091B8EA" w14:textId="3AD63F02" w:rsidR="005065B9" w:rsidRPr="00521401" w:rsidRDefault="00E76CBF" w:rsidP="00E76CBF">
            <w:pPr>
              <w:spacing w:after="0" w:line="276" w:lineRule="auto"/>
              <w:ind w:left="179"/>
            </w:pPr>
            <w:r>
              <w:t>María Teresa Guerra Ochoa</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6C393C">
        <w:trPr>
          <w:trHeight w:val="340"/>
        </w:trPr>
        <w:tc>
          <w:tcPr>
            <w:tcW w:w="9910" w:type="dxa"/>
            <w:gridSpan w:val="3"/>
            <w:shd w:val="clear" w:color="auto" w:fill="auto"/>
          </w:tcPr>
          <w:p w14:paraId="54E4AA94" w14:textId="5F567F94" w:rsidR="00A4624B" w:rsidRPr="007301C5" w:rsidRDefault="00861DE5" w:rsidP="00A4624B">
            <w:pPr>
              <w:spacing w:after="0" w:line="276" w:lineRule="auto"/>
              <w:ind w:left="179"/>
            </w:pPr>
            <w:hyperlink r:id="rId9" w:history="1">
              <w:r w:rsidRPr="00037231">
                <w:rPr>
                  <w:rStyle w:val="Hipervnculo"/>
                </w:rPr>
                <w:t>secretaria.semujeres@sinaloa.gob.mx</w:t>
              </w:r>
            </w:hyperlink>
            <w:r>
              <w:t xml:space="preserve"> </w:t>
            </w:r>
            <w:bookmarkStart w:id="0" w:name="_GoBack"/>
            <w:bookmarkEnd w:id="0"/>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E76CBF" w14:paraId="3C5D9DC6" w14:textId="77777777" w:rsidTr="006C393C">
        <w:trPr>
          <w:trHeight w:val="340"/>
        </w:trPr>
        <w:tc>
          <w:tcPr>
            <w:tcW w:w="9910" w:type="dxa"/>
            <w:gridSpan w:val="3"/>
            <w:shd w:val="clear" w:color="auto" w:fill="auto"/>
            <w:vAlign w:val="center"/>
          </w:tcPr>
          <w:p w14:paraId="138DA773" w14:textId="0CC21186" w:rsidR="00E76CBF" w:rsidRPr="007301C5" w:rsidRDefault="00E76CBF" w:rsidP="00E76CBF">
            <w:pPr>
              <w:spacing w:after="0" w:line="276" w:lineRule="auto"/>
              <w:ind w:left="179"/>
            </w:pPr>
            <w:r>
              <w:t>Secretaría de las Mujeres (SEMUJERES)</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6C393C">
        <w:trPr>
          <w:trHeight w:val="340"/>
        </w:trPr>
        <w:tc>
          <w:tcPr>
            <w:tcW w:w="9910" w:type="dxa"/>
            <w:gridSpan w:val="3"/>
            <w:shd w:val="clear" w:color="auto" w:fill="auto"/>
          </w:tcPr>
          <w:p w14:paraId="6F19C066" w14:textId="33D6F913" w:rsidR="004E1FF7" w:rsidRPr="007301C5" w:rsidRDefault="006C393C" w:rsidP="004E1FF7">
            <w:pPr>
              <w:spacing w:after="0" w:line="276" w:lineRule="auto"/>
              <w:ind w:left="179"/>
            </w:pPr>
            <w:r w:rsidRPr="006C393C">
              <w:t>6677-58-70-00 ext. 39175 y 39149</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57EB70E9" w:rsidR="00090637" w:rsidRPr="00866990" w:rsidRDefault="00E76CBF" w:rsidP="00521401">
            <w:pPr>
              <w:spacing w:after="0" w:line="276" w:lineRule="auto"/>
              <w:ind w:left="179"/>
            </w:pPr>
            <w:r w:rsidRPr="00E76CBF">
              <w:t>No aplica (modalidad interna)</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7AE12966" w:rsidR="00090637" w:rsidRPr="00866990" w:rsidRDefault="00E76CBF" w:rsidP="00521401">
            <w:pPr>
              <w:spacing w:after="0" w:line="276" w:lineRule="auto"/>
              <w:ind w:left="179"/>
            </w:pPr>
            <w:r>
              <w:t>No aplica (modalidad interna)</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54AE132E" w:rsidR="004C435E" w:rsidRPr="00866990" w:rsidRDefault="00E76CBF" w:rsidP="004C435E">
            <w:pPr>
              <w:spacing w:after="0" w:line="276" w:lineRule="auto"/>
              <w:ind w:left="179"/>
            </w:pPr>
            <w:r>
              <w:t>No aplica (modalidad interna)</w:t>
            </w:r>
          </w:p>
        </w:tc>
      </w:tr>
    </w:tbl>
    <w:p w14:paraId="4F8B6B6B" w14:textId="77777777" w:rsidR="002C2D3A" w:rsidRPr="00E76CBF" w:rsidRDefault="002C2D3A" w:rsidP="00E76CBF">
      <w:pPr>
        <w:spacing w:after="0"/>
        <w:rPr>
          <w:sz w:val="20"/>
        </w:rPr>
      </w:pPr>
    </w:p>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E76CBF">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81B57" w14:textId="77777777" w:rsidR="00721E9D" w:rsidRDefault="00721E9D" w:rsidP="008E5209">
      <w:pPr>
        <w:spacing w:after="0" w:line="240" w:lineRule="auto"/>
      </w:pPr>
      <w:r>
        <w:separator/>
      </w:r>
    </w:p>
  </w:endnote>
  <w:endnote w:type="continuationSeparator" w:id="0">
    <w:p w14:paraId="68440D76" w14:textId="77777777" w:rsidR="00721E9D" w:rsidRDefault="00721E9D"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edium">
    <w:altName w:val="Calibri"/>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sz w:val="18"/>
        <w:szCs w:val="18"/>
      </w:rPr>
      <w:id w:val="-1163232363"/>
      <w:docPartObj>
        <w:docPartGallery w:val="Page Numbers (Bottom of Page)"/>
        <w:docPartUnique/>
      </w:docPartObj>
    </w:sdtPr>
    <w:sdtEndPr/>
    <w:sdtContent>
      <w:p w14:paraId="2AEE73D2" w14:textId="0177C37A"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861DE5">
          <w:rPr>
            <w:b/>
            <w:bCs/>
            <w:noProof/>
            <w:sz w:val="18"/>
            <w:szCs w:val="18"/>
          </w:rPr>
          <w:t>6</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sz w:val="18"/>
        <w:szCs w:val="18"/>
      </w:rPr>
      <w:id w:val="-310406665"/>
      <w:docPartObj>
        <w:docPartGallery w:val="Page Numbers (Bottom of Page)"/>
        <w:docPartUnique/>
      </w:docPartObj>
    </w:sdtPr>
    <w:sdtEndPr/>
    <w:sdtContent>
      <w:p w14:paraId="0E690CD3" w14:textId="0C2E42C7"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861DE5" w:rsidRPr="00861DE5">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1F0AB" w14:textId="77777777" w:rsidR="00721E9D" w:rsidRDefault="00721E9D" w:rsidP="008E5209">
      <w:pPr>
        <w:spacing w:after="0" w:line="240" w:lineRule="auto"/>
      </w:pPr>
      <w:r>
        <w:separator/>
      </w:r>
    </w:p>
  </w:footnote>
  <w:footnote w:type="continuationSeparator" w:id="0">
    <w:p w14:paraId="4C6429C4" w14:textId="77777777" w:rsidR="00721E9D" w:rsidRDefault="00721E9D" w:rsidP="008E5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6DDD3" w14:textId="77777777" w:rsidR="0008479E" w:rsidRPr="00CA36EE" w:rsidRDefault="0008479E" w:rsidP="0008479E">
    <w:pPr>
      <w:ind w:left="3828"/>
      <w:jc w:val="right"/>
      <w:rPr>
        <w:rFonts w:ascii="Medium" w:hAnsi="Medium" w:cs="Arial"/>
        <w:b/>
        <w:color w:val="404040" w:themeColor="text1" w:themeTint="BF"/>
        <w:sz w:val="26"/>
        <w:szCs w:val="26"/>
      </w:rPr>
    </w:pPr>
    <w:r w:rsidRPr="00CA36EE">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CA36EE">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66.8pt;height:595.25pt" o:bullet="t">
        <v:imagedata r:id="rId1" o:title="03"/>
      </v:shape>
    </w:pict>
  </w:numPicBullet>
  <w:numPicBullet w:numPicBulletId="1">
    <w:pict>
      <v:shape id="_x0000_i1033" type="#_x0000_t75" style="width:283pt;height:297.2pt" o:bullet="t">
        <v:imagedata r:id="rId2" o:title="04"/>
      </v:shape>
    </w:pict>
  </w:numPicBullet>
  <w:abstractNum w:abstractNumId="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nsid w:val="0CE14011"/>
    <w:multiLevelType w:val="hybridMultilevel"/>
    <w:tmpl w:val="267CE082"/>
    <w:lvl w:ilvl="0" w:tplc="5D749D64">
      <w:start w:val="1"/>
      <w:numFmt w:val="bullet"/>
      <w:lvlText w:val="•"/>
      <w:lvlJc w:val="left"/>
      <w:pPr>
        <w:tabs>
          <w:tab w:val="num" w:pos="720"/>
        </w:tabs>
        <w:ind w:left="720" w:hanging="360"/>
      </w:pPr>
      <w:rPr>
        <w:rFonts w:ascii="Times New Roman" w:hAnsi="Times New Roman" w:hint="default"/>
      </w:rPr>
    </w:lvl>
    <w:lvl w:ilvl="1" w:tplc="A7B8E628" w:tentative="1">
      <w:start w:val="1"/>
      <w:numFmt w:val="bullet"/>
      <w:lvlText w:val="•"/>
      <w:lvlJc w:val="left"/>
      <w:pPr>
        <w:tabs>
          <w:tab w:val="num" w:pos="1440"/>
        </w:tabs>
        <w:ind w:left="1440" w:hanging="360"/>
      </w:pPr>
      <w:rPr>
        <w:rFonts w:ascii="Times New Roman" w:hAnsi="Times New Roman" w:hint="default"/>
      </w:rPr>
    </w:lvl>
    <w:lvl w:ilvl="2" w:tplc="2DD80A62" w:tentative="1">
      <w:start w:val="1"/>
      <w:numFmt w:val="bullet"/>
      <w:lvlText w:val="•"/>
      <w:lvlJc w:val="left"/>
      <w:pPr>
        <w:tabs>
          <w:tab w:val="num" w:pos="2160"/>
        </w:tabs>
        <w:ind w:left="2160" w:hanging="360"/>
      </w:pPr>
      <w:rPr>
        <w:rFonts w:ascii="Times New Roman" w:hAnsi="Times New Roman" w:hint="default"/>
      </w:rPr>
    </w:lvl>
    <w:lvl w:ilvl="3" w:tplc="9B626A5A" w:tentative="1">
      <w:start w:val="1"/>
      <w:numFmt w:val="bullet"/>
      <w:lvlText w:val="•"/>
      <w:lvlJc w:val="left"/>
      <w:pPr>
        <w:tabs>
          <w:tab w:val="num" w:pos="2880"/>
        </w:tabs>
        <w:ind w:left="2880" w:hanging="360"/>
      </w:pPr>
      <w:rPr>
        <w:rFonts w:ascii="Times New Roman" w:hAnsi="Times New Roman" w:hint="default"/>
      </w:rPr>
    </w:lvl>
    <w:lvl w:ilvl="4" w:tplc="9498FE88" w:tentative="1">
      <w:start w:val="1"/>
      <w:numFmt w:val="bullet"/>
      <w:lvlText w:val="•"/>
      <w:lvlJc w:val="left"/>
      <w:pPr>
        <w:tabs>
          <w:tab w:val="num" w:pos="3600"/>
        </w:tabs>
        <w:ind w:left="3600" w:hanging="360"/>
      </w:pPr>
      <w:rPr>
        <w:rFonts w:ascii="Times New Roman" w:hAnsi="Times New Roman" w:hint="default"/>
      </w:rPr>
    </w:lvl>
    <w:lvl w:ilvl="5" w:tplc="4D3A00E2" w:tentative="1">
      <w:start w:val="1"/>
      <w:numFmt w:val="bullet"/>
      <w:lvlText w:val="•"/>
      <w:lvlJc w:val="left"/>
      <w:pPr>
        <w:tabs>
          <w:tab w:val="num" w:pos="4320"/>
        </w:tabs>
        <w:ind w:left="4320" w:hanging="360"/>
      </w:pPr>
      <w:rPr>
        <w:rFonts w:ascii="Times New Roman" w:hAnsi="Times New Roman" w:hint="default"/>
      </w:rPr>
    </w:lvl>
    <w:lvl w:ilvl="6" w:tplc="28E2BB4A" w:tentative="1">
      <w:start w:val="1"/>
      <w:numFmt w:val="bullet"/>
      <w:lvlText w:val="•"/>
      <w:lvlJc w:val="left"/>
      <w:pPr>
        <w:tabs>
          <w:tab w:val="num" w:pos="5040"/>
        </w:tabs>
        <w:ind w:left="5040" w:hanging="360"/>
      </w:pPr>
      <w:rPr>
        <w:rFonts w:ascii="Times New Roman" w:hAnsi="Times New Roman" w:hint="default"/>
      </w:rPr>
    </w:lvl>
    <w:lvl w:ilvl="7" w:tplc="7B92256C" w:tentative="1">
      <w:start w:val="1"/>
      <w:numFmt w:val="bullet"/>
      <w:lvlText w:val="•"/>
      <w:lvlJc w:val="left"/>
      <w:pPr>
        <w:tabs>
          <w:tab w:val="num" w:pos="5760"/>
        </w:tabs>
        <w:ind w:left="5760" w:hanging="360"/>
      </w:pPr>
      <w:rPr>
        <w:rFonts w:ascii="Times New Roman" w:hAnsi="Times New Roman" w:hint="default"/>
      </w:rPr>
    </w:lvl>
    <w:lvl w:ilvl="8" w:tplc="EBE2C10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1D00CA9"/>
    <w:multiLevelType w:val="multilevel"/>
    <w:tmpl w:val="080A001F"/>
    <w:numStyleLink w:val="Estilo1"/>
  </w:abstractNum>
  <w:abstractNum w:abstractNumId="4">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5">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6">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7">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9">
    <w:nsid w:val="27D838DE"/>
    <w:multiLevelType w:val="hybridMultilevel"/>
    <w:tmpl w:val="BCB291A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11">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3">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4">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6">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9">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21">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4">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5">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7">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45C376B"/>
    <w:multiLevelType w:val="hybridMultilevel"/>
    <w:tmpl w:val="76DEBD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2">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5"/>
  </w:num>
  <w:num w:numId="2">
    <w:abstractNumId w:val="23"/>
  </w:num>
  <w:num w:numId="3">
    <w:abstractNumId w:val="8"/>
  </w:num>
  <w:num w:numId="4">
    <w:abstractNumId w:val="21"/>
  </w:num>
  <w:num w:numId="5">
    <w:abstractNumId w:val="3"/>
    <w:lvlOverride w:ilvl="1">
      <w:lvl w:ilvl="1">
        <w:start w:val="1"/>
        <w:numFmt w:val="decimal"/>
        <w:lvlText w:val="%1.%2."/>
        <w:lvlJc w:val="left"/>
        <w:pPr>
          <w:ind w:left="792" w:hanging="432"/>
        </w:pPr>
        <w:rPr>
          <w:b/>
        </w:rPr>
      </w:lvl>
    </w:lvlOverride>
  </w:num>
  <w:num w:numId="6">
    <w:abstractNumId w:val="30"/>
  </w:num>
  <w:num w:numId="7">
    <w:abstractNumId w:val="31"/>
  </w:num>
  <w:num w:numId="8">
    <w:abstractNumId w:val="32"/>
  </w:num>
  <w:num w:numId="9">
    <w:abstractNumId w:val="22"/>
  </w:num>
  <w:num w:numId="10">
    <w:abstractNumId w:val="14"/>
  </w:num>
  <w:num w:numId="11">
    <w:abstractNumId w:val="16"/>
  </w:num>
  <w:num w:numId="12">
    <w:abstractNumId w:val="28"/>
  </w:num>
  <w:num w:numId="13">
    <w:abstractNumId w:val="27"/>
  </w:num>
  <w:num w:numId="14">
    <w:abstractNumId w:val="24"/>
  </w:num>
  <w:num w:numId="15">
    <w:abstractNumId w:val="18"/>
  </w:num>
  <w:num w:numId="16">
    <w:abstractNumId w:val="5"/>
  </w:num>
  <w:num w:numId="17">
    <w:abstractNumId w:val="7"/>
  </w:num>
  <w:num w:numId="18">
    <w:abstractNumId w:val="19"/>
  </w:num>
  <w:num w:numId="19">
    <w:abstractNumId w:val="17"/>
  </w:num>
  <w:num w:numId="20">
    <w:abstractNumId w:val="6"/>
  </w:num>
  <w:num w:numId="21">
    <w:abstractNumId w:val="4"/>
  </w:num>
  <w:num w:numId="22">
    <w:abstractNumId w:val="15"/>
  </w:num>
  <w:num w:numId="23">
    <w:abstractNumId w:val="26"/>
  </w:num>
  <w:num w:numId="24">
    <w:abstractNumId w:val="13"/>
  </w:num>
  <w:num w:numId="25">
    <w:abstractNumId w:val="20"/>
  </w:num>
  <w:num w:numId="26">
    <w:abstractNumId w:val="10"/>
  </w:num>
  <w:num w:numId="27">
    <w:abstractNumId w:val="12"/>
  </w:num>
  <w:num w:numId="28">
    <w:abstractNumId w:val="0"/>
  </w:num>
  <w:num w:numId="29">
    <w:abstractNumId w:val="11"/>
  </w:num>
  <w:num w:numId="30">
    <w:abstractNumId w:val="1"/>
  </w:num>
  <w:num w:numId="31">
    <w:abstractNumId w:val="29"/>
  </w:num>
  <w:num w:numId="32">
    <w:abstractNumId w:val="9"/>
  </w:num>
  <w:num w:numId="33">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066D"/>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41B"/>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393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21E9D"/>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4654C"/>
    <w:rsid w:val="0085511A"/>
    <w:rsid w:val="00855D89"/>
    <w:rsid w:val="00857815"/>
    <w:rsid w:val="0085799F"/>
    <w:rsid w:val="00860E2B"/>
    <w:rsid w:val="0086126F"/>
    <w:rsid w:val="00861DE5"/>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564B"/>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A36EE"/>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76CBF"/>
    <w:rsid w:val="00E84156"/>
    <w:rsid w:val="00E85EDC"/>
    <w:rsid w:val="00E91A09"/>
    <w:rsid w:val="00E95051"/>
    <w:rsid w:val="00EA4287"/>
    <w:rsid w:val="00EA460E"/>
    <w:rsid w:val="00EB2E68"/>
    <w:rsid w:val="00EB345E"/>
    <w:rsid w:val="00EB4CD4"/>
    <w:rsid w:val="00EB7D9E"/>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13832525">
      <w:bodyDiv w:val="1"/>
      <w:marLeft w:val="0"/>
      <w:marRight w:val="0"/>
      <w:marTop w:val="0"/>
      <w:marBottom w:val="0"/>
      <w:divBdr>
        <w:top w:val="none" w:sz="0" w:space="0" w:color="auto"/>
        <w:left w:val="none" w:sz="0" w:space="0" w:color="auto"/>
        <w:bottom w:val="none" w:sz="0" w:space="0" w:color="auto"/>
        <w:right w:val="none" w:sz="0" w:space="0" w:color="auto"/>
      </w:divBdr>
      <w:divsChild>
        <w:div w:id="1209144959">
          <w:marLeft w:val="547"/>
          <w:marRight w:val="0"/>
          <w:marTop w:val="0"/>
          <w:marBottom w:val="0"/>
          <w:divBdr>
            <w:top w:val="none" w:sz="0" w:space="0" w:color="auto"/>
            <w:left w:val="none" w:sz="0" w:space="0" w:color="auto"/>
            <w:bottom w:val="none" w:sz="0" w:space="0" w:color="auto"/>
            <w:right w:val="none" w:sz="0" w:space="0" w:color="auto"/>
          </w:divBdr>
        </w:div>
        <w:div w:id="1162770169">
          <w:marLeft w:val="547"/>
          <w:marRight w:val="0"/>
          <w:marTop w:val="0"/>
          <w:marBottom w:val="0"/>
          <w:divBdr>
            <w:top w:val="none" w:sz="0" w:space="0" w:color="auto"/>
            <w:left w:val="none" w:sz="0" w:space="0" w:color="auto"/>
            <w:bottom w:val="none" w:sz="0" w:space="0" w:color="auto"/>
            <w:right w:val="none" w:sz="0" w:space="0" w:color="auto"/>
          </w:divBdr>
        </w:div>
        <w:div w:id="1031147906">
          <w:marLeft w:val="547"/>
          <w:marRight w:val="0"/>
          <w:marTop w:val="0"/>
          <w:marBottom w:val="0"/>
          <w:divBdr>
            <w:top w:val="none" w:sz="0" w:space="0" w:color="auto"/>
            <w:left w:val="none" w:sz="0" w:space="0" w:color="auto"/>
            <w:bottom w:val="none" w:sz="0" w:space="0" w:color="auto"/>
            <w:right w:val="none" w:sz="0" w:space="0" w:color="auto"/>
          </w:divBdr>
        </w:div>
        <w:div w:id="562326303">
          <w:marLeft w:val="547"/>
          <w:marRight w:val="0"/>
          <w:marTop w:val="0"/>
          <w:marBottom w:val="0"/>
          <w:divBdr>
            <w:top w:val="none" w:sz="0" w:space="0" w:color="auto"/>
            <w:left w:val="none" w:sz="0" w:space="0" w:color="auto"/>
            <w:bottom w:val="none" w:sz="0" w:space="0" w:color="auto"/>
            <w:right w:val="none" w:sz="0" w:space="0" w:color="auto"/>
          </w:divBdr>
        </w:div>
      </w:divsChild>
    </w:div>
    <w:div w:id="624507699">
      <w:bodyDiv w:val="1"/>
      <w:marLeft w:val="0"/>
      <w:marRight w:val="0"/>
      <w:marTop w:val="0"/>
      <w:marBottom w:val="0"/>
      <w:divBdr>
        <w:top w:val="none" w:sz="0" w:space="0" w:color="auto"/>
        <w:left w:val="none" w:sz="0" w:space="0" w:color="auto"/>
        <w:bottom w:val="none" w:sz="0" w:space="0" w:color="auto"/>
        <w:right w:val="none" w:sz="0" w:space="0" w:color="auto"/>
      </w:divBdr>
      <w:divsChild>
        <w:div w:id="801195470">
          <w:marLeft w:val="547"/>
          <w:marRight w:val="0"/>
          <w:marTop w:val="0"/>
          <w:marBottom w:val="0"/>
          <w:divBdr>
            <w:top w:val="none" w:sz="0" w:space="0" w:color="auto"/>
            <w:left w:val="none" w:sz="0" w:space="0" w:color="auto"/>
            <w:bottom w:val="none" w:sz="0" w:space="0" w:color="auto"/>
            <w:right w:val="none" w:sz="0" w:space="0" w:color="auto"/>
          </w:divBdr>
        </w:div>
        <w:div w:id="1197618712">
          <w:marLeft w:val="547"/>
          <w:marRight w:val="0"/>
          <w:marTop w:val="0"/>
          <w:marBottom w:val="0"/>
          <w:divBdr>
            <w:top w:val="none" w:sz="0" w:space="0" w:color="auto"/>
            <w:left w:val="none" w:sz="0" w:space="0" w:color="auto"/>
            <w:bottom w:val="none" w:sz="0" w:space="0" w:color="auto"/>
            <w:right w:val="none" w:sz="0" w:space="0" w:color="auto"/>
          </w:divBdr>
        </w:div>
        <w:div w:id="246815517">
          <w:marLeft w:val="547"/>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30423771">
      <w:bodyDiv w:val="1"/>
      <w:marLeft w:val="0"/>
      <w:marRight w:val="0"/>
      <w:marTop w:val="0"/>
      <w:marBottom w:val="0"/>
      <w:divBdr>
        <w:top w:val="none" w:sz="0" w:space="0" w:color="auto"/>
        <w:left w:val="none" w:sz="0" w:space="0" w:color="auto"/>
        <w:bottom w:val="none" w:sz="0" w:space="0" w:color="auto"/>
        <w:right w:val="none" w:sz="0" w:space="0" w:color="auto"/>
      </w:divBdr>
      <w:divsChild>
        <w:div w:id="1356031131">
          <w:marLeft w:val="547"/>
          <w:marRight w:val="0"/>
          <w:marTop w:val="0"/>
          <w:marBottom w:val="0"/>
          <w:divBdr>
            <w:top w:val="none" w:sz="0" w:space="0" w:color="auto"/>
            <w:left w:val="none" w:sz="0" w:space="0" w:color="auto"/>
            <w:bottom w:val="none" w:sz="0" w:space="0" w:color="auto"/>
            <w:right w:val="none" w:sz="0" w:space="0" w:color="auto"/>
          </w:divBdr>
        </w:div>
      </w:divsChild>
    </w:div>
    <w:div w:id="757364563">
      <w:bodyDiv w:val="1"/>
      <w:marLeft w:val="0"/>
      <w:marRight w:val="0"/>
      <w:marTop w:val="0"/>
      <w:marBottom w:val="0"/>
      <w:divBdr>
        <w:top w:val="none" w:sz="0" w:space="0" w:color="auto"/>
        <w:left w:val="none" w:sz="0" w:space="0" w:color="auto"/>
        <w:bottom w:val="none" w:sz="0" w:space="0" w:color="auto"/>
        <w:right w:val="none" w:sz="0" w:space="0" w:color="auto"/>
      </w:divBdr>
      <w:divsChild>
        <w:div w:id="670566672">
          <w:marLeft w:val="547"/>
          <w:marRight w:val="0"/>
          <w:marTop w:val="0"/>
          <w:marBottom w:val="0"/>
          <w:divBdr>
            <w:top w:val="none" w:sz="0" w:space="0" w:color="auto"/>
            <w:left w:val="none" w:sz="0" w:space="0" w:color="auto"/>
            <w:bottom w:val="none" w:sz="0" w:space="0" w:color="auto"/>
            <w:right w:val="none" w:sz="0" w:space="0" w:color="auto"/>
          </w:divBdr>
        </w:div>
        <w:div w:id="1152913224">
          <w:marLeft w:val="547"/>
          <w:marRight w:val="0"/>
          <w:marTop w:val="0"/>
          <w:marBottom w:val="0"/>
          <w:divBdr>
            <w:top w:val="none" w:sz="0" w:space="0" w:color="auto"/>
            <w:left w:val="none" w:sz="0" w:space="0" w:color="auto"/>
            <w:bottom w:val="none" w:sz="0" w:space="0" w:color="auto"/>
            <w:right w:val="none" w:sz="0" w:space="0" w:color="auto"/>
          </w:divBdr>
        </w:div>
        <w:div w:id="1205750774">
          <w:marLeft w:val="547"/>
          <w:marRight w:val="0"/>
          <w:marTop w:val="0"/>
          <w:marBottom w:val="0"/>
          <w:divBdr>
            <w:top w:val="none" w:sz="0" w:space="0" w:color="auto"/>
            <w:left w:val="none" w:sz="0" w:space="0" w:color="auto"/>
            <w:bottom w:val="none" w:sz="0" w:space="0" w:color="auto"/>
            <w:right w:val="none" w:sz="0" w:space="0" w:color="auto"/>
          </w:divBdr>
        </w:div>
        <w:div w:id="1141651322">
          <w:marLeft w:val="547"/>
          <w:marRight w:val="0"/>
          <w:marTop w:val="0"/>
          <w:marBottom w:val="0"/>
          <w:divBdr>
            <w:top w:val="none" w:sz="0" w:space="0" w:color="auto"/>
            <w:left w:val="none" w:sz="0" w:space="0" w:color="auto"/>
            <w:bottom w:val="none" w:sz="0" w:space="0" w:color="auto"/>
            <w:right w:val="none" w:sz="0" w:space="0" w:color="auto"/>
          </w:divBdr>
        </w:div>
        <w:div w:id="960574922">
          <w:marLeft w:val="547"/>
          <w:marRight w:val="0"/>
          <w:marTop w:val="0"/>
          <w:marBottom w:val="0"/>
          <w:divBdr>
            <w:top w:val="none" w:sz="0" w:space="0" w:color="auto"/>
            <w:left w:val="none" w:sz="0" w:space="0" w:color="auto"/>
            <w:bottom w:val="none" w:sz="0" w:space="0" w:color="auto"/>
            <w:right w:val="none" w:sz="0" w:space="0" w:color="auto"/>
          </w:divBdr>
        </w:div>
      </w:divsChild>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a.semujeres@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5FE76-A79C-4017-8E4B-87395166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1</TotalTime>
  <Pages>6</Pages>
  <Words>2028</Words>
  <Characters>11159</Characters>
  <Application>Microsoft Office Word</Application>
  <DocSecurity>0</DocSecurity>
  <Lines>92</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Hewlett-Packard Company</cp:lastModifiedBy>
  <cp:revision>2</cp:revision>
  <cp:lastPrinted>2022-06-17T19:35:00Z</cp:lastPrinted>
  <dcterms:created xsi:type="dcterms:W3CDTF">2023-11-01T19:57:00Z</dcterms:created>
  <dcterms:modified xsi:type="dcterms:W3CDTF">2023-11-01T19:57:00Z</dcterms:modified>
</cp:coreProperties>
</file>